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73" w:rsidRPr="003E4673" w:rsidRDefault="003E4673" w:rsidP="00C54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</w:pPr>
      <w:proofErr w:type="spellStart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>Dvar</w:t>
      </w:r>
      <w:proofErr w:type="spellEnd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 xml:space="preserve"> Torah – </w:t>
      </w:r>
      <w:proofErr w:type="spellStart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>Parashat</w:t>
      </w:r>
      <w:proofErr w:type="spellEnd"/>
      <w:r w:rsidRPr="003E46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 xml:space="preserve"> </w:t>
      </w:r>
      <w:proofErr w:type="spellStart"/>
      <w:r w:rsidR="00C54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 w:bidi="he-IL"/>
        </w:rPr>
        <w:t>Tetzaveh</w:t>
      </w:r>
      <w:proofErr w:type="spellEnd"/>
    </w:p>
    <w:p w:rsidR="003E4673" w:rsidRDefault="003E4673" w:rsidP="003E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</w:p>
    <w:p w:rsidR="00C54233" w:rsidRDefault="00C54233" w:rsidP="003E4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</w:p>
    <w:p w:rsidR="00C54233" w:rsidRPr="00C54233" w:rsidRDefault="00C54233" w:rsidP="00C54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The first half of </w:t>
      </w:r>
      <w:proofErr w:type="spellStart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Parashat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Tetzaveh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outlines the laws and requirements concerning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bigdei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kehuna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, the priestly garments, which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Hashem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commanded that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Bnei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Yisrael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 prepare for </w:t>
      </w:r>
      <w:proofErr w:type="spellStart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Aharon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and his sons for the purpose of "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kadesho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le-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hahano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li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" – "to sanctify him to serve </w:t>
      </w:r>
      <w:proofErr w:type="gramStart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Me</w:t>
      </w:r>
      <w:proofErr w:type="gram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" (28:3).</w:t>
      </w:r>
    </w:p>
    <w:p w:rsidR="00C54233" w:rsidRPr="00C54233" w:rsidRDefault="00C54233" w:rsidP="00C54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</w:t>
      </w:r>
    </w:p>
    <w:p w:rsidR="00C54233" w:rsidRPr="00C54233" w:rsidRDefault="00C54233" w:rsidP="00C54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The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Lev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Samei'ach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interprets these two terms –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kadesho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hahano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li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– as references to two different but simultaneous functions served by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bigdei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kehuna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.  The term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hahano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li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refers to these garments' role with respect to the Temple service.  The unique, sacred quality of these rituals requires that they be performed with special garments that reflect hono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u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r and grandeur ("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havod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u-le-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tif'aret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" – 28:2).  In this sense, the garments are necessary as a precondition for the performance of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avoda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.  But in addition, the priestly vestments are intended for the purpose of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kadesho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to give hono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u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r to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kohanim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themselves.  According to the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Lev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Samei'ach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the obligation of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kadesho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corresponds to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mitzva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of "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ve-kidashto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" (</w:t>
      </w:r>
      <w:proofErr w:type="spellStart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Vayikra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21:8), which requires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Benei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Yisrael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to treat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kohanim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with respect in recognition of their special status.  The notion of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kadesho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requires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kohanim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to themselves reflect this status by wearing special garments as they carry out their priestly duties.</w:t>
      </w:r>
    </w:p>
    <w:p w:rsidR="00C54233" w:rsidRPr="00C54233" w:rsidRDefault="00C54233" w:rsidP="00C54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</w:t>
      </w:r>
    </w:p>
    <w:p w:rsidR="00C54233" w:rsidRPr="00C54233" w:rsidRDefault="00C54233" w:rsidP="00C54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           On the basis of this theory, the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Lev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Samei'ach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 explains why the </w:t>
      </w:r>
      <w:proofErr w:type="spellStart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Rambam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classified wearing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bigdei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kehuna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 as one of the Torah's 248 positive commands.  As the </w:t>
      </w:r>
      <w:proofErr w:type="spellStart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Ramban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noted, donning the priestly garments seems to be but a necessary prerequisite for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avoda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and thus should not be afforded the status of an independent obligation.  The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Lev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Samei'ach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explains that beyond their role of preparing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kohen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for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avoda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the priestly garments serve as well the role of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kadesho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of reflecting the unique status and stature of the priestly tribe, and, as such, wearing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bigdei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kehuna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indeed constitutes an independent obligation.</w:t>
      </w:r>
    </w:p>
    <w:p w:rsidR="00C54233" w:rsidRPr="00C54233" w:rsidRDefault="00C54233" w:rsidP="00C54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</w:pP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</w:t>
      </w:r>
    </w:p>
    <w:p w:rsidR="00C54233" w:rsidRPr="00C54233" w:rsidRDefault="00C54233" w:rsidP="00C54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 w:bidi="he-IL"/>
        </w:rPr>
      </w:pP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           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Shulchan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Arukh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 (O.C. 98:4) rules that it is proper for one to designate special garments for prayer "similar to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bigdei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kehuna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."  In light of this comparison and the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Lev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Samei'ach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's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 xml:space="preserve"> analysis of the 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bigdei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kehuna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we may perhaps assign a corresponding, dual role to the special garments that one should designate for prayer.  </w:t>
      </w:r>
      <w:r w:rsidRPr="00C54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 w:bidi="he-IL"/>
        </w:rPr>
        <w:t>On one level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of course, these garments are to serve the purpose of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C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hahano</w:t>
      </w:r>
      <w:proofErr w:type="spellEnd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 xml:space="preserve"> li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as a demonstration of respect to the act of prayer.  </w:t>
      </w:r>
      <w:r w:rsidRPr="00C54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 w:bidi="he-IL"/>
        </w:rPr>
        <w:t>But additionally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wearing special garments for prayer has the effect of </w:t>
      </w:r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le-</w:t>
      </w:r>
      <w:proofErr w:type="spellStart"/>
      <w:r w:rsidRPr="00C542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 w:bidi="he-IL"/>
        </w:rPr>
        <w:t>kadesho</w:t>
      </w:r>
      <w:proofErr w:type="spellEnd"/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, showing hono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u</w:t>
      </w:r>
      <w:r w:rsidRPr="00C54233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e-IL"/>
        </w:rPr>
        <w:t>r and respect to oneself.  This requirement ensures that at least three times every day, the Jew is dressed respectfully and appears dignified – something which can have a profound effect on his self-image and sense of self-worth.  </w:t>
      </w:r>
      <w:r w:rsidRPr="00C54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 w:bidi="he-IL"/>
        </w:rPr>
        <w:t>It reminds us that we, like the </w:t>
      </w:r>
      <w:proofErr w:type="spellStart"/>
      <w:r w:rsidRPr="00C542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GB" w:bidi="he-IL"/>
        </w:rPr>
        <w:t>kohanim</w:t>
      </w:r>
      <w:proofErr w:type="spellEnd"/>
      <w:r w:rsidRPr="00C54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 w:bidi="he-IL"/>
        </w:rPr>
        <w:t>, are designated for an important role and higher calling, that we are to conduct ourselves as Hashem's loyal servants and devote our lives to the fulfilment</w:t>
      </w:r>
      <w:bookmarkStart w:id="0" w:name="_GoBack"/>
      <w:bookmarkEnd w:id="0"/>
      <w:r w:rsidRPr="00C54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 w:bidi="he-IL"/>
        </w:rPr>
        <w:t xml:space="preserve"> of this sacred mission.</w:t>
      </w:r>
    </w:p>
    <w:sectPr w:rsidR="00C54233" w:rsidRPr="00C54233" w:rsidSect="003E467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73"/>
    <w:rsid w:val="00022ACE"/>
    <w:rsid w:val="003E4673"/>
    <w:rsid w:val="007E2908"/>
    <w:rsid w:val="00BB0FFE"/>
    <w:rsid w:val="00C54233"/>
    <w:rsid w:val="00C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40C3-B458-476C-A7EE-F3F508D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B67050C1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 David High School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RICKMAN</dc:creator>
  <cp:keywords/>
  <dc:description/>
  <cp:lastModifiedBy>B RICKMAN</cp:lastModifiedBy>
  <cp:revision>2</cp:revision>
  <dcterms:created xsi:type="dcterms:W3CDTF">2019-02-04T15:30:00Z</dcterms:created>
  <dcterms:modified xsi:type="dcterms:W3CDTF">2019-02-04T15:30:00Z</dcterms:modified>
</cp:coreProperties>
</file>